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2977"/>
        <w:gridCol w:w="5103"/>
        <w:gridCol w:w="1729"/>
      </w:tblGrid>
      <w:tr>
        <w:trPr>
          <w:trHeight w:val="2853" w:hRule="auto"/>
          <w:jc w:val="left"/>
        </w:trPr>
        <w:tc>
          <w:tcPr>
            <w:tcW w:w="9809" w:type="dxa"/>
            <w:gridSpan w:val="3"/>
            <w:tcBorders>
              <w:top w:val="single" w:color="000000" w:sz="0"/>
              <w:left w:val="single" w:color="000000" w:sz="0"/>
              <w:bottom w:val="single" w:color="000000" w:sz="4"/>
              <w:right w:val="single" w:color="000000" w:sz="0"/>
            </w:tcBorders>
            <w:shd w:color="000000" w:fill="ffffff" w:val="clear"/>
            <w:tcMar>
              <w:left w:w="28" w:type="dxa"/>
              <w:right w:w="2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НАЦІОНАЛЬНЕ АГЕНТСТВО УКРАЇНИ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 ПИТАНЬ ВИЯВЛЕННЯ, РОЗШУКУ ТА УПРАВЛІННЯ АКТИВАМИ, ОДЕРЖАНИМИ ВІД КОРУПЦІЙНИХ ТА ІНШИХ ЗЛОЧИНІВ</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АРМА)</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168"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вул. Бориса Грінченка, 1, м. Київ, 01001, тел./факс (044) 290-08-46, (044) 278-00-83</w:t>
            </w:r>
          </w:p>
          <w:p>
            <w:pPr>
              <w:spacing w:before="0" w:after="0" w:line="240"/>
              <w:ind w:right="-168" w:left="0" w:firstLine="0"/>
              <w:jc w:val="center"/>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E-mail: info@arma.gov.ua, </w:t>
            </w:r>
            <w:r>
              <w:rPr>
                <w:rFonts w:ascii="Times New Roman" w:hAnsi="Times New Roman" w:cs="Times New Roman" w:eastAsia="Times New Roman"/>
                <w:color w:val="auto"/>
                <w:spacing w:val="0"/>
                <w:position w:val="0"/>
                <w:sz w:val="24"/>
                <w:shd w:fill="auto" w:val="clear"/>
              </w:rPr>
              <w:t xml:space="preserve">сайт: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arma.gov.ua</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код згідно з ЄДРПОУ 41037901</w:t>
            </w:r>
          </w:p>
        </w:tc>
      </w:tr>
      <w:tr>
        <w:trPr>
          <w:trHeight w:val="611" w:hRule="auto"/>
          <w:jc w:val="left"/>
        </w:trPr>
        <w:tc>
          <w:tcPr>
            <w:tcW w:w="9809" w:type="dxa"/>
            <w:gridSpan w:val="3"/>
            <w:tcBorders>
              <w:top w:val="single" w:color="000000" w:sz="4"/>
              <w:left w:val="single" w:color="000000" w:sz="0"/>
              <w:bottom w:val="single" w:color="000000" w:sz="0"/>
              <w:right w:val="single" w:color="000000" w:sz="0"/>
            </w:tcBorders>
            <w:shd w:color="000000" w:fill="ffffff" w:val="clear"/>
            <w:tcMar>
              <w:left w:w="28" w:type="dxa"/>
              <w:right w:w="28" w:type="dxa"/>
            </w:tcMar>
            <w:vAlign w:val="top"/>
          </w:tcPr>
          <w:p>
            <w:pPr>
              <w:spacing w:before="0" w:after="0" w:line="240"/>
              <w:ind w:right="116"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від ______________ 20__р.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              </w:t>
            </w:r>
            <w:r>
              <w:rPr>
                <w:rFonts w:ascii="Times New Roman" w:hAnsi="Times New Roman" w:cs="Times New Roman" w:eastAsia="Times New Roman"/>
                <w:color w:val="auto"/>
                <w:spacing w:val="0"/>
                <w:position w:val="0"/>
                <w:sz w:val="24"/>
                <w:shd w:fill="auto" w:val="clear"/>
              </w:rPr>
              <w:t xml:space="preserve">На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 </w:t>
            </w:r>
            <w:r>
              <w:rPr>
                <w:rFonts w:ascii="Times New Roman" w:hAnsi="Times New Roman" w:cs="Times New Roman" w:eastAsia="Times New Roman"/>
                <w:color w:val="auto"/>
                <w:spacing w:val="0"/>
                <w:position w:val="0"/>
                <w:sz w:val="24"/>
                <w:shd w:fill="auto" w:val="clear"/>
              </w:rPr>
              <w:t xml:space="preserve">від ______________20__р.</w:t>
            </w:r>
          </w:p>
        </w:tc>
      </w:tr>
      <w:tr>
        <w:trPr>
          <w:trHeight w:val="1" w:hRule="atLeast"/>
          <w:jc w:val="left"/>
        </w:trPr>
        <w:tc>
          <w:tcPr>
            <w:tcW w:w="297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Комісія Антимонопольного комітету України з розгляду скарг про порушення законодавства у сфері публічних закупівель</w:t>
            </w:r>
          </w:p>
          <w:p>
            <w:pPr>
              <w:tabs>
                <w:tab w:val="left" w:pos="447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вул. Митрополита В. Липківського, 45, м. Київ, 03035</w:t>
            </w:r>
          </w:p>
          <w:p>
            <w:pPr>
              <w:spacing w:before="0" w:after="0" w:line="240"/>
              <w:ind w:right="0" w:left="0" w:firstLine="0"/>
              <w:jc w:val="both"/>
              <w:rPr>
                <w:color w:val="auto"/>
                <w:spacing w:val="0"/>
                <w:position w:val="0"/>
                <w:shd w:fill="auto" w:val="clear"/>
              </w:rPr>
            </w:pPr>
          </w:p>
        </w:tc>
      </w:tr>
      <w:tr>
        <w:trPr>
          <w:trHeight w:val="1" w:hRule="atLeast"/>
          <w:jc w:val="left"/>
        </w:trPr>
        <w:tc>
          <w:tcPr>
            <w:tcW w:w="297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Замовник:</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Національне агентство України з питань виявлення, розшуку та управління активами, одержаними від корупційних та інших злочинів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вул. Бориса Грінченка, 1, Київ, 01001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ЄДРПОУ: 41037901</w:t>
            </w:r>
          </w:p>
          <w:p>
            <w:pPr>
              <w:spacing w:before="0" w:after="0" w:line="240"/>
              <w:ind w:right="0" w:left="0" w:firstLine="0"/>
              <w:jc w:val="both"/>
              <w:rPr>
                <w:color w:val="auto"/>
                <w:spacing w:val="0"/>
                <w:position w:val="0"/>
                <w:shd w:fill="auto" w:val="clear"/>
              </w:rPr>
            </w:pPr>
          </w:p>
        </w:tc>
      </w:tr>
      <w:tr>
        <w:trPr>
          <w:trHeight w:val="1" w:hRule="atLeast"/>
          <w:jc w:val="left"/>
        </w:trPr>
        <w:tc>
          <w:tcPr>
            <w:tcW w:w="297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Суб’єкт оскарження:</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2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Консорц</w:t>
            </w:r>
            <w:r>
              <w:rPr>
                <w:rFonts w:ascii="Times New Roman" w:hAnsi="Times New Roman" w:cs="Times New Roman" w:eastAsia="Times New Roman"/>
                <w:color w:val="auto"/>
                <w:spacing w:val="0"/>
                <w:position w:val="0"/>
                <w:sz w:val="24"/>
                <w:shd w:fill="auto" w:val="clear"/>
              </w:rPr>
              <w:t xml:space="preserve">іум</w:t>
            </w:r>
            <w:r>
              <w:rPr>
                <w:rFonts w:ascii="Times New Roman" w:hAnsi="Times New Roman" w:cs="Times New Roman" w:eastAsia="Times New Roman"/>
                <w:color w:val="auto"/>
                <w:spacing w:val="0"/>
                <w:position w:val="0"/>
                <w:sz w:val="24"/>
                <w:shd w:fill="auto" w:val="clear"/>
              </w:rPr>
              <w:t xml:space="preserve"> "Аква Ресурс 24" </w:t>
              <w:br/>
              <w:t xml:space="preserve">ЄДРПОУ 45501726, </w:t>
              <w:br/>
              <w:t xml:space="preserve">03062, м. Київ, Берестейський проспект, 75/2</w:t>
            </w:r>
          </w:p>
          <w:p>
            <w:pPr>
              <w:spacing w:before="0" w:after="0" w:line="240"/>
              <w:ind w:right="0" w:left="2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+380672304391, </w:t>
              <w:br/>
              <w:t xml:space="preserve">e-mail: </w:t>
            </w:r>
            <w:r>
              <w:rPr>
                <w:rFonts w:ascii="Times New Roman" w:hAnsi="Times New Roman" w:cs="Times New Roman" w:eastAsia="Times New Roman"/>
                <w:color w:val="auto"/>
                <w:spacing w:val="0"/>
                <w:position w:val="0"/>
                <w:sz w:val="24"/>
                <w:shd w:fill="auto" w:val="clear"/>
              </w:rPr>
              <w:t xml:space="preserve">aqua.resource.24@gmail.com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shd w:fill="auto" w:val="clear"/>
              </w:rPr>
            </w:pPr>
          </w:p>
        </w:tc>
      </w:tr>
      <w:tr>
        <w:trPr>
          <w:trHeight w:val="1" w:hRule="atLeast"/>
          <w:jc w:val="left"/>
        </w:trPr>
        <w:tc>
          <w:tcPr>
            <w:tcW w:w="297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Номер оголошення про проведення процедури закупівлі, що оприлюднене на веб-порталі уповноваженого органу та назва предмета закупівлі:</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UA-2025-10-10-009350-</w:t>
            </w:r>
            <w:r>
              <w:rPr>
                <w:rFonts w:ascii="Times New Roman" w:hAnsi="Times New Roman" w:cs="Times New Roman" w:eastAsia="Times New Roman"/>
                <w:color w:val="auto"/>
                <w:spacing w:val="0"/>
                <w:position w:val="0"/>
                <w:sz w:val="24"/>
                <w:shd w:fill="auto" w:val="clear"/>
              </w:rPr>
              <w:t xml:space="preserve">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Послуги з управління активами відповідно до ст. 21 Закону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772-VIII, </w:t>
            </w:r>
            <w:r>
              <w:rPr>
                <w:rFonts w:ascii="Times New Roman" w:hAnsi="Times New Roman" w:cs="Times New Roman" w:eastAsia="Times New Roman"/>
                <w:color w:val="auto"/>
                <w:spacing w:val="0"/>
                <w:position w:val="0"/>
                <w:sz w:val="24"/>
                <w:shd w:fill="auto" w:val="clear"/>
              </w:rPr>
              <w:t xml:space="preserve">а саме: об'єкт нерухомого майна за реєстраційним номером 2277029421253, який розташований за адресою: Закарпатська обл., Хустський р-н., с. Шаян, вул. Санаторна, 1; об'єкт нерухомого майна за реєстраційним номером 2276982921253, який розташований за адресою: Закарпатська обл., Хустський р-н., с. Шаян, вул. Санаторна,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 ДК 021:2015 99999999-9 Не відображене в інших розділах. </w:t>
            </w:r>
          </w:p>
          <w:p>
            <w:pPr>
              <w:spacing w:before="0" w:after="0" w:line="240"/>
              <w:ind w:right="0" w:left="0" w:firstLine="0"/>
              <w:jc w:val="both"/>
              <w:rPr>
                <w:color w:val="auto"/>
                <w:spacing w:val="0"/>
                <w:position w:val="0"/>
                <w:shd w:fill="auto" w:val="clear"/>
              </w:rPr>
            </w:pPr>
          </w:p>
        </w:tc>
      </w:tr>
      <w:tr>
        <w:trPr>
          <w:trHeight w:val="255" w:hRule="auto"/>
          <w:jc w:val="left"/>
        </w:trPr>
        <w:tc>
          <w:tcPr>
            <w:tcW w:w="297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ID:</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36c7e56150f942b3b9e6efcba6041c4f</w:t>
            </w:r>
          </w:p>
        </w:tc>
      </w:tr>
      <w:tr>
        <w:trPr>
          <w:trHeight w:val="1" w:hRule="atLeast"/>
          <w:jc w:val="left"/>
        </w:trPr>
        <w:tc>
          <w:tcPr>
            <w:tcW w:w="297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Процедура закупівлі:</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Відкриті торги з особливостями</w:t>
            </w:r>
          </w:p>
          <w:p>
            <w:pPr>
              <w:spacing w:before="0" w:after="0" w:line="240"/>
              <w:ind w:right="0" w:left="0" w:firstLine="0"/>
              <w:jc w:val="both"/>
              <w:rPr>
                <w:color w:val="auto"/>
                <w:spacing w:val="0"/>
                <w:position w:val="0"/>
                <w:shd w:fill="auto" w:val="clear"/>
              </w:rPr>
            </w:pPr>
          </w:p>
        </w:tc>
      </w:tr>
      <w:tr>
        <w:trPr>
          <w:trHeight w:val="1" w:hRule="atLeast"/>
          <w:jc w:val="left"/>
        </w:trPr>
        <w:tc>
          <w:tcPr>
            <w:tcW w:w="297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Рішення про прийняття скарги до розгляду: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від 02.12.2025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17773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р/пк-пз </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Пояснення по суті скарги Консорціум "Аква Ресурс 24"</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номер скарги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222222"/>
          <w:spacing w:val="0"/>
          <w:position w:val="0"/>
          <w:sz w:val="24"/>
          <w:shd w:fill="FFFFFF" w:val="clear"/>
        </w:rPr>
        <w:t xml:space="preserve">UA-2025-</w:t>
      </w:r>
      <w:r>
        <w:rPr>
          <w:rFonts w:ascii="Times New Roman" w:hAnsi="Times New Roman" w:cs="Times New Roman" w:eastAsia="Times New Roman"/>
          <w:b/>
          <w:color w:val="222222"/>
          <w:spacing w:val="0"/>
          <w:position w:val="0"/>
          <w:sz w:val="24"/>
          <w:shd w:fill="FFFFFF" w:val="clear"/>
        </w:rPr>
        <w:t xml:space="preserve">10-10-009350-а.с5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Комісією Антимонопольного комітету України з розгляду скарг про порушення законодавства у сфері публічних закупівель (далі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АМКУ) Рішенням від 02.12.2025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17773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р/пк-пз  прийнято до розгляду скаргу (надалі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Скарга)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Консорціум "Аква Ресурс 24"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далі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Скаржник або Учасник), щодо порушення Замовником (Національне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 41037901) (надалі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АРМА або Замовник) порядку проведення Процедури закупівлі (ідентифікатор закупівлі: </w:t>
      </w:r>
      <w:r>
        <w:rPr>
          <w:rFonts w:ascii="Times New Roman" w:hAnsi="Times New Roman" w:cs="Times New Roman" w:eastAsia="Times New Roman"/>
          <w:color w:val="auto"/>
          <w:spacing w:val="0"/>
          <w:position w:val="0"/>
          <w:sz w:val="24"/>
          <w:shd w:fill="auto" w:val="clear"/>
        </w:rPr>
        <w:t xml:space="preserve">UA-2025-10-10-009350-</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 викладеного в Протоколі уповноваженої особи АРМА від 25.11.2025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224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Водночас АМКУ зобов’язав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w:t>
      </w:r>
      <w:r>
        <w:rPr>
          <w:rFonts w:ascii="Times New Roman" w:hAnsi="Times New Roman" w:cs="Times New Roman" w:eastAsia="Times New Roman"/>
          <w:color w:val="auto"/>
          <w:spacing w:val="0"/>
          <w:position w:val="0"/>
          <w:sz w:val="24"/>
          <w:shd w:fill="auto" w:val="clear"/>
        </w:rPr>
        <w:t xml:space="preserve">«pdf» </w:t>
      </w:r>
      <w:r>
        <w:rPr>
          <w:rFonts w:ascii="Times New Roman" w:hAnsi="Times New Roman" w:cs="Times New Roman" w:eastAsia="Times New Roman"/>
          <w:color w:val="auto"/>
          <w:spacing w:val="0"/>
          <w:position w:val="0"/>
          <w:sz w:val="24"/>
          <w:shd w:fill="auto" w:val="clear"/>
        </w:rPr>
        <w:t xml:space="preserve">форматі (а також у форматі </w:t>
      </w:r>
      <w:r>
        <w:rPr>
          <w:rFonts w:ascii="Times New Roman" w:hAnsi="Times New Roman" w:cs="Times New Roman" w:eastAsia="Times New Roman"/>
          <w:color w:val="auto"/>
          <w:spacing w:val="0"/>
          <w:position w:val="0"/>
          <w:sz w:val="24"/>
          <w:shd w:fill="auto" w:val="clear"/>
        </w:rPr>
        <w:t xml:space="preserve">«doc» </w:t>
      </w:r>
      <w:r>
        <w:rPr>
          <w:rFonts w:ascii="Times New Roman" w:hAnsi="Times New Roman" w:cs="Times New Roman" w:eastAsia="Times New Roman"/>
          <w:color w:val="auto"/>
          <w:spacing w:val="0"/>
          <w:position w:val="0"/>
          <w:sz w:val="24"/>
          <w:shd w:fill="auto" w:val="clear"/>
        </w:rPr>
        <w:t xml:space="preserve">з можливістю копіювання тексту) на веб-портал Уповноваженого органу. </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Національне агентство України з питань виявлення, розшуку та управління активами, одержаними від корупційних та інших злочинів за результатами розгляду Скарги  </w:t>
      </w:r>
      <w:r>
        <w:rPr>
          <w:rFonts w:ascii="Times New Roman" w:hAnsi="Times New Roman" w:cs="Times New Roman" w:eastAsia="Times New Roman"/>
          <w:color w:val="000000"/>
          <w:spacing w:val="0"/>
          <w:position w:val="0"/>
          <w:sz w:val="24"/>
          <w:shd w:fill="auto" w:val="clear"/>
        </w:rPr>
        <w:t xml:space="preserve">вважає за необхідне зазначити наступне.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Предметом закупівлі </w:t>
      </w:r>
      <w:r>
        <w:rPr>
          <w:rFonts w:ascii="Times New Roman" w:hAnsi="Times New Roman" w:cs="Times New Roman" w:eastAsia="Times New Roman"/>
          <w:color w:val="auto"/>
          <w:spacing w:val="0"/>
          <w:position w:val="0"/>
          <w:sz w:val="24"/>
          <w:shd w:fill="auto" w:val="clear"/>
        </w:rPr>
        <w:t xml:space="preserve">UA-2025-10-10-009350-</w:t>
      </w:r>
      <w:r>
        <w:rPr>
          <w:rFonts w:ascii="Times New Roman" w:hAnsi="Times New Roman" w:cs="Times New Roman" w:eastAsia="Times New Roman"/>
          <w:color w:val="auto"/>
          <w:spacing w:val="0"/>
          <w:position w:val="0"/>
          <w:sz w:val="24"/>
          <w:shd w:fill="auto" w:val="clear"/>
        </w:rPr>
        <w:t xml:space="preserve">а </w:t>
      </w:r>
      <w:r>
        <w:rPr>
          <w:rFonts w:ascii="Times New Roman" w:hAnsi="Times New Roman" w:cs="Times New Roman" w:eastAsia="Times New Roman"/>
          <w:color w:val="auto"/>
          <w:spacing w:val="0"/>
          <w:position w:val="0"/>
          <w:sz w:val="24"/>
          <w:shd w:fill="auto" w:val="clear"/>
        </w:rPr>
        <w:t xml:space="preserve">є послуги з управління активами відповідно до ст. 21 Закону України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Національне агентство України з питань виявлення, розшуку та управління активами, одержаними від корупційних та інших злочинів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далі - Закон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772), </w:t>
      </w:r>
      <w:r>
        <w:rPr>
          <w:rFonts w:ascii="Times New Roman" w:hAnsi="Times New Roman" w:cs="Times New Roman" w:eastAsia="Times New Roman"/>
          <w:color w:val="auto"/>
          <w:spacing w:val="0"/>
          <w:position w:val="0"/>
          <w:sz w:val="24"/>
          <w:shd w:fill="auto" w:val="clear"/>
        </w:rPr>
        <w:t xml:space="preserve">а саме: </w:t>
      </w:r>
      <w:r>
        <w:rPr>
          <w:rFonts w:ascii="Times New Roman" w:hAnsi="Times New Roman" w:cs="Times New Roman" w:eastAsia="Times New Roman"/>
          <w:color w:val="auto"/>
          <w:spacing w:val="0"/>
          <w:position w:val="0"/>
          <w:sz w:val="24"/>
          <w:shd w:fill="auto" w:val="clear"/>
        </w:rPr>
        <w:t xml:space="preserve">об'єкт нерухомого майна за реєстраційним номером 2277029421253, який розташований за адресою: Закарпатська обл., Хустський р-н., с. Шаян, вул. Санаторна, 1; об'єкт нерухомого майна за реєстраційним номером 2276982921253, який розташований за адресою: Закарпатська обл., Хустський р-н., с. Шаян, вул. Санаторна,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Актив).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w:t>
      </w:r>
      <w:r>
        <w:rPr>
          <w:rFonts w:ascii="Times New Roman" w:hAnsi="Times New Roman" w:cs="Times New Roman" w:eastAsia="Times New Roman"/>
          <w:color w:val="auto"/>
          <w:spacing w:val="0"/>
          <w:position w:val="0"/>
          <w:sz w:val="24"/>
          <w:shd w:fill="FFFFFF" w:val="clear"/>
        </w:rPr>
        <w:t xml:space="preserve">публічні закупівлі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далі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Закон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922), </w:t>
      </w:r>
      <w:r>
        <w:rPr>
          <w:rFonts w:ascii="Times New Roman" w:hAnsi="Times New Roman" w:cs="Times New Roman" w:eastAsia="Times New Roman"/>
          <w:color w:val="auto"/>
          <w:spacing w:val="0"/>
          <w:position w:val="0"/>
          <w:sz w:val="24"/>
          <w:shd w:fill="auto" w:val="clear"/>
        </w:rPr>
        <w:t xml:space="preserve">метою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Державні закупівлі здійснюються за принципами, визначеними частиною першою статті 5 Закону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922, </w:t>
      </w:r>
      <w:r>
        <w:rPr>
          <w:rFonts w:ascii="Times New Roman" w:hAnsi="Times New Roman" w:cs="Times New Roman" w:eastAsia="Times New Roman"/>
          <w:color w:val="auto"/>
          <w:spacing w:val="0"/>
          <w:position w:val="0"/>
          <w:sz w:val="24"/>
          <w:shd w:fill="auto" w:val="clear"/>
        </w:rPr>
        <w:t xml:space="preserve">у тому числі,</w:t>
      </w:r>
      <w:r>
        <w:rPr>
          <w:rFonts w:ascii="Times New Roman" w:hAnsi="Times New Roman" w:cs="Times New Roman" w:eastAsia="Times New Roman"/>
          <w:color w:val="auto"/>
          <w:spacing w:val="0"/>
          <w:position w:val="0"/>
          <w:sz w:val="24"/>
          <w:shd w:fill="FFFFFF" w:val="clear"/>
        </w:rPr>
        <w:t xml:space="preserve"> недискримінація учасників та рівне ставлення до них.</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Уповноважена особа АРМА при формуванні вимог до тендерної документації керувалася, зокрема, але не виключено, Законом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772, </w:t>
      </w:r>
      <w:r>
        <w:rPr>
          <w:rFonts w:ascii="Times New Roman" w:hAnsi="Times New Roman" w:cs="Times New Roman" w:eastAsia="Times New Roman"/>
          <w:color w:val="auto"/>
          <w:spacing w:val="0"/>
          <w:position w:val="0"/>
          <w:sz w:val="24"/>
          <w:shd w:fill="FFFFFF" w:val="clear"/>
        </w:rPr>
        <w:t xml:space="preserve">Законом України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Про публічні закупівлі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далі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Закон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922-VII)</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Постановою Кабінету Міністрів України від 12 жовтня 2022 року </w:t>
      </w:r>
      <w:hyperlink xmlns:r="http://schemas.openxmlformats.org/officeDocument/2006/relationships" r:id="docRId1">
        <w:r>
          <w:rPr>
            <w:rFonts w:ascii="Segoe UI Symbol" w:hAnsi="Segoe UI Symbol" w:cs="Segoe UI Symbol" w:eastAsia="Segoe UI Symbol"/>
            <w:color w:val="0000FF"/>
            <w:spacing w:val="0"/>
            <w:position w:val="0"/>
            <w:sz w:val="24"/>
            <w:u w:val="single"/>
            <w:shd w:fill="FFFFFF" w:val="clear"/>
          </w:rPr>
          <w:t xml:space="preserve">№</w:t>
        </w:r>
        <w:r>
          <w:rPr>
            <w:rFonts w:ascii="Times New Roman" w:hAnsi="Times New Roman" w:cs="Times New Roman" w:eastAsia="Times New Roman"/>
            <w:color w:val="0000FF"/>
            <w:spacing w:val="0"/>
            <w:position w:val="0"/>
            <w:sz w:val="24"/>
            <w:u w:val="single"/>
            <w:shd w:fill="FFFFFF" w:val="clear"/>
          </w:rPr>
          <w:t xml:space="preserve"> 1178</w:t>
        </w:r>
      </w:hyperlink>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Про затвердження особливостей здійснення публічних закупівель товарів, робіт і послуг для замовників, передбачених Законом України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Про публічні закупівлі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надалі - Особливості),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29 вересня 2023 року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223 (</w:t>
      </w:r>
      <w:r>
        <w:rPr>
          <w:rFonts w:ascii="Times New Roman" w:hAnsi="Times New Roman" w:cs="Times New Roman" w:eastAsia="Times New Roman"/>
          <w:color w:val="auto"/>
          <w:spacing w:val="0"/>
          <w:position w:val="0"/>
          <w:sz w:val="24"/>
          <w:shd w:fill="FFFFFF" w:val="clear"/>
        </w:rPr>
        <w:t xml:space="preserve">надалі - Методичні рекомендації) тощо.</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Відповідно до частини першої та другої статті 16 Закону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992 </w:t>
      </w:r>
      <w:r>
        <w:rPr>
          <w:rFonts w:ascii="Times New Roman" w:hAnsi="Times New Roman" w:cs="Times New Roman" w:eastAsia="Times New Roman"/>
          <w:color w:val="auto"/>
          <w:spacing w:val="0"/>
          <w:position w:val="0"/>
          <w:sz w:val="24"/>
          <w:shd w:fill="auto" w:val="clear"/>
        </w:rPr>
        <w:t xml:space="preserve">Замовник вимагає від учасників процедури закупівлі подання ними документально підтвердженої інформації про їх відповідність кваліфікаційним критеріям.</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Згідно з інформацією, розміщеною на веб-порталі Уповноваженого органу з питань закупівель, свої Пропозиції для участі в Процедурі закупівлі надав один учасник:</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КОНСОРЦІУМ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АКВА РЕСУРС 24</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код ЄДРПОУ 45501726.</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Згідно з інформацією, розміщеною на веб-порталі Уповноваженого органу, розкриття Пропозицій відбулось 28.10.2025 о 17:03.</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Тендерна пропозиція Учасника за результатами аукціону визначено найбільш економічно вигідною 28.10.2025.</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Протоколом Уповноваженої особи від 04.11.2025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продовжено строк розгляду тендерної пропозиції Учасника на строк до 20 робочих днів з дня визначення найбільш економічно вигідної пропозиції.</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Протоколом Уповноваженої особи від 25.11.2025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тендерну пропозицію Учасника відхилено в межах процедури закупівлі (ідентифікатор закупівлі: </w:t>
      </w:r>
      <w:r>
        <w:rPr>
          <w:rFonts w:ascii="Times New Roman" w:hAnsi="Times New Roman" w:cs="Times New Roman" w:eastAsia="Times New Roman"/>
          <w:color w:val="auto"/>
          <w:spacing w:val="0"/>
          <w:position w:val="0"/>
          <w:sz w:val="24"/>
          <w:shd w:fill="auto" w:val="clear"/>
        </w:rPr>
        <w:t xml:space="preserve">UA-2025-10-10-009350-</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Розгляд та оцінка тендерних пропозицій відбуваються відповідно до пунктів 41 і 42 Особливостей здійснення публічних закупівель товарів, робіт і послуг для замовників, передбачених Законом України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публічні закупівлі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Закон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992), </w:t>
      </w:r>
      <w:r>
        <w:rPr>
          <w:rFonts w:ascii="Times New Roman" w:hAnsi="Times New Roman" w:cs="Times New Roman" w:eastAsia="Times New Roman"/>
          <w:color w:val="auto"/>
          <w:spacing w:val="0"/>
          <w:position w:val="0"/>
          <w:sz w:val="24"/>
          <w:shd w:fill="auto" w:val="clear"/>
        </w:rPr>
        <w:t xml:space="preserve">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1178 (</w:t>
      </w:r>
      <w:r>
        <w:rPr>
          <w:rFonts w:ascii="Times New Roman" w:hAnsi="Times New Roman" w:cs="Times New Roman" w:eastAsia="Times New Roman"/>
          <w:color w:val="auto"/>
          <w:spacing w:val="0"/>
          <w:position w:val="0"/>
          <w:sz w:val="24"/>
          <w:shd w:fill="auto" w:val="clear"/>
        </w:rPr>
        <w:t xml:space="preserve">далі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Особливості), з урахуванням положень пункту 43 Особливостей.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результатом розгляду тендерної пропозиції Учасника Уповноважена особа, керуючись вимогами пункту 44 Особливостей прийняла рішення відхилити  тендерну пропозицію учасника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Консорціум "Аква Ресурс 24"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код ЄДРПОУ</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45501726</w:t>
      </w:r>
      <w:r>
        <w:rPr>
          <w:rFonts w:ascii="Times New Roman" w:hAnsi="Times New Roman" w:cs="Times New Roman" w:eastAsia="Times New Roman"/>
          <w:color w:val="auto"/>
          <w:spacing w:val="0"/>
          <w:position w:val="0"/>
          <w:sz w:val="24"/>
          <w:shd w:fill="auto" w:val="clear"/>
        </w:rPr>
        <w:t xml:space="preserve">, процедури відкритих торгів (ідентифікатор закупівлі: </w:t>
      </w:r>
      <w:r>
        <w:rPr>
          <w:rFonts w:ascii="Times New Roman" w:hAnsi="Times New Roman" w:cs="Times New Roman" w:eastAsia="Times New Roman"/>
          <w:color w:val="auto"/>
          <w:spacing w:val="0"/>
          <w:position w:val="0"/>
          <w:sz w:val="24"/>
          <w:shd w:fill="auto" w:val="clear"/>
        </w:rPr>
        <w:t xml:space="preserve">UA-2025-10-10-009350-</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 з наступних підстав:</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підпункт 2 пункту 44 Особливостей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тендерна пропозиція 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пункту 43</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цих особливостей;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Вказане рішення оформлено Протоколом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 25.11.2025, який відповідно оприлюднено.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Щодо пункту 1 скарги.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Зміст скарги щодо даного питання зводиться до висновку Скаржника, а саме:</w:t>
      </w:r>
    </w:p>
    <w:p>
      <w:pPr>
        <w:spacing w:before="0" w:after="0" w:line="240"/>
        <w:ind w:right="0" w:left="0" w:firstLine="709"/>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"В той же час, відсутність вказівки на конкретне значення вимоги Замовником (вказівка на пробіл) робить неможливим для Замовника стверджувати, що ним встановлено таку вимогу і, відповідно, відхиляти Тендерну пропозицію через відсутність вказівки на неї в Тендерній пропозиції.</w:t>
      </w:r>
    </w:p>
    <w:p>
      <w:pPr>
        <w:spacing w:before="0" w:after="0" w:line="240"/>
        <w:ind w:right="0" w:left="0" w:firstLine="709"/>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Таким чином, твердження Замовника, що Тендерна пропозиція Учасника (позивача)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не відповідає … іншим вимогам щодо предмета закупівлі тендерної документації</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є необґрунтованим та суперечить приписам п. 33 ч. 1 ст. 1 Закону України </w:t>
      </w:r>
      <w:r>
        <w:rPr>
          <w:rFonts w:ascii="Segoe UI Symbol" w:hAnsi="Segoe UI Symbol" w:cs="Segoe UI Symbol" w:eastAsia="Segoe UI Symbol"/>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922-VIII.</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Вказаним твердженням Скаржник спростовує сам свої доводи, </w:t>
      </w:r>
      <w:r>
        <w:rPr>
          <w:rFonts w:ascii="Times New Roman" w:hAnsi="Times New Roman" w:cs="Times New Roman" w:eastAsia="Times New Roman"/>
          <w:color w:val="auto"/>
          <w:spacing w:val="0"/>
          <w:position w:val="0"/>
          <w:sz w:val="24"/>
          <w:u w:val="single"/>
          <w:shd w:fill="auto" w:val="clear"/>
        </w:rPr>
        <w:t xml:space="preserve">так як він не здійснив заповнення Додатку 2 за наданою формою</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цьому за змістом скарги </w:t>
      </w:r>
      <w:r>
        <w:rPr>
          <w:rFonts w:ascii="Times New Roman" w:hAnsi="Times New Roman" w:cs="Times New Roman" w:eastAsia="Times New Roman"/>
          <w:b/>
          <w:color w:val="auto"/>
          <w:spacing w:val="0"/>
          <w:position w:val="0"/>
          <w:sz w:val="24"/>
          <w:shd w:fill="auto" w:val="clear"/>
        </w:rPr>
        <w:t xml:space="preserve">Скаржник не визначає жодного доводу та підстав, які б не дозволяли йому здійснити заповнення форми Додатку 2 Тендерної документації за встановленою формою.</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Так, відповідно до абзацу 3 пункту 1 розділу ІІІ Документації, Пропозиція подається в електронному вигляді через електронну систему закупівель шляхом </w:t>
      </w:r>
      <w:r>
        <w:rPr>
          <w:rFonts w:ascii="Times New Roman" w:hAnsi="Times New Roman" w:cs="Times New Roman" w:eastAsia="Times New Roman"/>
          <w:b/>
          <w:color w:val="auto"/>
          <w:spacing w:val="0"/>
          <w:position w:val="0"/>
          <w:sz w:val="24"/>
          <w:shd w:fill="auto" w:val="clear"/>
        </w:rPr>
        <w:t xml:space="preserve">заповнення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електронних форм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з окремими полями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де зазначається інформація</w:t>
      </w:r>
      <w:r>
        <w:rPr>
          <w:rFonts w:ascii="Times New Roman" w:hAnsi="Times New Roman" w:cs="Times New Roman" w:eastAsia="Times New Roman"/>
          <w:color w:val="auto"/>
          <w:spacing w:val="0"/>
          <w:position w:val="0"/>
          <w:sz w:val="24"/>
          <w:shd w:fill="auto" w:val="clear"/>
        </w:rPr>
        <w:t xml:space="preserve"> про ціну, </w:t>
      </w:r>
      <w:r>
        <w:rPr>
          <w:rFonts w:ascii="Times New Roman" w:hAnsi="Times New Roman" w:cs="Times New Roman" w:eastAsia="Times New Roman"/>
          <w:color w:val="auto"/>
          <w:spacing w:val="0"/>
          <w:position w:val="0"/>
          <w:sz w:val="24"/>
          <w:u w:val="single"/>
          <w:shd w:fill="auto" w:val="clear"/>
        </w:rPr>
        <w:t xml:space="preserve">інші критерії оцінки</w:t>
      </w:r>
      <w:r>
        <w:rPr>
          <w:rFonts w:ascii="Times New Roman" w:hAnsi="Times New Roman" w:cs="Times New Roman" w:eastAsia="Times New Roman"/>
          <w:color w:val="auto"/>
          <w:spacing w:val="0"/>
          <w:position w:val="0"/>
          <w:sz w:val="24"/>
          <w:shd w:fill="auto" w:val="clear"/>
        </w:rPr>
        <w:t xml:space="preserve"> (у разі їх установлення замовником), інформація від учасника процедури закупівлі про його відповідність кваліфікаційним (кваліфікаційному) критеріям, наявність/відсутність підстав, установлених пунктом 44 Особливостей і в цій тендерній документації, та шляхом завантаження необхідних документів, які надаються у вигляді сканованих документів придатних для машинозчитування (файли з розширенням "pdf", "jpeg", тощо). </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Отже, згідно вказаних вимог Тендерної документації, Учасник повинен надати до тендерної пропозиції заповнені електронні форми із заповненими всіма визначеними полями.</w:t>
      </w:r>
    </w:p>
    <w:p>
      <w:pPr>
        <w:tabs>
          <w:tab w:val="left" w:pos="567" w:leader="none"/>
        </w:tabs>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Дану вимогу Учасником порушено, так як наданий ним  Додаток 2 не містить заповненого поля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кількості __ працівників...".</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Учасник не заповнив поле, яке підлягало заповненню, чим порушив вимоги Тендерної документації і подав Додаток 2 не за встановленою формою.</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Відповідно до пункту 6 розділу ІІІ Документації учасники процедури закупівлі </w:t>
      </w:r>
      <w:r>
        <w:rPr>
          <w:rFonts w:ascii="Times New Roman" w:hAnsi="Times New Roman" w:cs="Times New Roman" w:eastAsia="Times New Roman"/>
          <w:color w:val="auto"/>
          <w:spacing w:val="0"/>
          <w:position w:val="0"/>
          <w:sz w:val="24"/>
          <w:u w:val="single"/>
          <w:shd w:fill="auto" w:val="clear"/>
        </w:rPr>
        <w:t xml:space="preserve">повинні надати у складі тендерних пропозицій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інформацію</w:t>
      </w:r>
      <w:r>
        <w:rPr>
          <w:rFonts w:ascii="Times New Roman" w:hAnsi="Times New Roman" w:cs="Times New Roman" w:eastAsia="Times New Roman"/>
          <w:color w:val="auto"/>
          <w:spacing w:val="0"/>
          <w:position w:val="0"/>
          <w:sz w:val="24"/>
          <w:shd w:fill="auto" w:val="clear"/>
        </w:rPr>
        <w:t xml:space="preserve"> та документи, які підтверджують відповідність тендерної пропозиції учасника технічним, якісним, кількісним та іншим вимогам до предмету закупівлі, </w:t>
      </w:r>
      <w:r>
        <w:rPr>
          <w:rFonts w:ascii="Times New Roman" w:hAnsi="Times New Roman" w:cs="Times New Roman" w:eastAsia="Times New Roman"/>
          <w:b/>
          <w:color w:val="auto"/>
          <w:spacing w:val="0"/>
          <w:position w:val="0"/>
          <w:sz w:val="24"/>
          <w:shd w:fill="auto" w:val="clear"/>
        </w:rPr>
        <w:t xml:space="preserve">що викладені у Додатку 2.</w:t>
      </w:r>
      <w:r>
        <w:rPr>
          <w:rFonts w:ascii="Times New Roman" w:hAnsi="Times New Roman" w:cs="Times New Roman" w:eastAsia="Times New Roman"/>
          <w:color w:val="auto"/>
          <w:spacing w:val="0"/>
          <w:position w:val="0"/>
          <w:sz w:val="24"/>
          <w:shd w:fill="auto" w:val="clear"/>
        </w:rPr>
        <w:t xml:space="preserve"> </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Отже, надання інформації, передбаченої формою Додатка 2, шляхом його заповнення є обов'язковою умовою Тендерної документації.</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Додаток 2 Документації містить інформацію про технічні, якісні та кількісні характеристики предмета закупівлі. Форма Додатку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Згідно вимог Тендерної документації учасник процедури закупівлі повинен надати у складі тендерної пропозиції заповнений за формою Додаток 2 тендерної документації, а невиконання вимог тендерної документації учасником призводить до відхилення пропозиції.</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Документація, зокрема додаток 2 Документації, містить вимогу надати у складі Пропозиції </w:t>
      </w:r>
      <w:r>
        <w:rPr>
          <w:rFonts w:ascii="Times New Roman" w:hAnsi="Times New Roman" w:cs="Times New Roman" w:eastAsia="Times New Roman"/>
          <w:b/>
          <w:color w:val="auto"/>
          <w:spacing w:val="0"/>
          <w:position w:val="0"/>
          <w:sz w:val="24"/>
          <w:u w:val="single"/>
          <w:shd w:fill="auto" w:val="clear"/>
        </w:rPr>
        <w:t xml:space="preserve">заповнений за формою</w:t>
      </w:r>
      <w:r>
        <w:rPr>
          <w:rFonts w:ascii="Times New Roman" w:hAnsi="Times New Roman" w:cs="Times New Roman" w:eastAsia="Times New Roman"/>
          <w:color w:val="auto"/>
          <w:spacing w:val="0"/>
          <w:position w:val="0"/>
          <w:sz w:val="24"/>
          <w:shd w:fill="auto" w:val="clear"/>
        </w:rPr>
        <w:t xml:space="preserve"> додаток Документації.</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Так, Додатк 2 містить наступну примітку:</w:t>
      </w:r>
    </w:p>
    <w:p>
      <w:pPr>
        <w:spacing w:before="0" w:after="0" w:line="240"/>
        <w:ind w:right="0" w:left="0" w:firstLine="709"/>
        <w:jc w:val="both"/>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Примітка: </w:t>
      </w:r>
    </w:p>
    <w:p>
      <w:pPr>
        <w:spacing w:before="0" w:after="0" w:line="240"/>
        <w:ind w:right="0" w:left="0" w:firstLine="709"/>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УЧАСНИК ПРОЦЕДУРИ ЗАКУПІВЛІ ПОВИНЕН НАДАТИ У СКЛАДІ ТЕНДЕРНОЇ ПРОПОЗИЦІЇ </w:t>
      </w:r>
      <w:r>
        <w:rPr>
          <w:rFonts w:ascii="Times New Roman" w:hAnsi="Times New Roman" w:cs="Times New Roman" w:eastAsia="Times New Roman"/>
          <w:b/>
          <w:i/>
          <w:color w:val="000000"/>
          <w:spacing w:val="0"/>
          <w:position w:val="0"/>
          <w:sz w:val="24"/>
          <w:shd w:fill="auto" w:val="clear"/>
        </w:rPr>
        <w:t xml:space="preserve">ЗАПОВНЕНИЙ ЗА ФОРМОЮ ДОДАТОК</w:t>
      </w:r>
      <w:r>
        <w:rPr>
          <w:rFonts w:ascii="Times New Roman" w:hAnsi="Times New Roman" w:cs="Times New Roman" w:eastAsia="Times New Roman"/>
          <w:i/>
          <w:color w:val="000000"/>
          <w:spacing w:val="0"/>
          <w:position w:val="0"/>
          <w:sz w:val="24"/>
          <w:shd w:fill="auto" w:val="clear"/>
        </w:rPr>
        <w:t xml:space="preserve"> ТЕНДЕРНОЇ ДОКУМЕНТАЦІЇ.</w:t>
      </w:r>
    </w:p>
    <w:p>
      <w:pPr>
        <w:tabs>
          <w:tab w:val="left" w:pos="567" w:leader="none"/>
        </w:tabs>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НЕВИКОНАННЯ ВИМОГ ТЕНДЕРНОЇ ДОКУМЕНТАЦІЇ УЧАСНИКОМ ПРИЗВОДИТЬ ДО ВІДХИЛЕННЯ ПРОПОЗИЦІЇ</w:t>
      </w:r>
      <w:r>
        <w:rPr>
          <w:rFonts w:ascii="Times New Roman" w:hAnsi="Times New Roman" w:cs="Times New Roman" w:eastAsia="Times New Roman"/>
          <w:i/>
          <w:color w:val="000000"/>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Враховуючи наведене, Пропозиція Переможця була визнана такою що не відповідає умовам технічної специфікації та іншим вимогам щодо предмета закупівлі тендерної документації.</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Аналогічні висновки вказав АМКУ</w:t>
      </w:r>
      <w:r>
        <w:rPr>
          <w:rFonts w:ascii="Times New Roman" w:hAnsi="Times New Roman" w:cs="Times New Roman" w:eastAsia="Times New Roman"/>
          <w:color w:val="auto"/>
          <w:spacing w:val="0"/>
          <w:position w:val="0"/>
          <w:sz w:val="24"/>
          <w:shd w:fill="auto" w:val="clear"/>
        </w:rPr>
        <w:t xml:space="preserve"> при опрацюванні вказаного питання по тендерних документаціях АРМА по іншим процедурам, які викладені в Рішенні АМКУ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2567-</w:t>
      </w:r>
      <w:r>
        <w:rPr>
          <w:rFonts w:ascii="Times New Roman" w:hAnsi="Times New Roman" w:cs="Times New Roman" w:eastAsia="Times New Roman"/>
          <w:color w:val="auto"/>
          <w:spacing w:val="0"/>
          <w:position w:val="0"/>
          <w:sz w:val="24"/>
          <w:shd w:fill="auto" w:val="clear"/>
        </w:rPr>
        <w:t xml:space="preserve">р/пк-пз від 19.02.2025, в Рішенні АМКУ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12996-</w:t>
      </w:r>
      <w:r>
        <w:rPr>
          <w:rFonts w:ascii="Times New Roman" w:hAnsi="Times New Roman" w:cs="Times New Roman" w:eastAsia="Times New Roman"/>
          <w:color w:val="auto"/>
          <w:spacing w:val="0"/>
          <w:position w:val="0"/>
          <w:sz w:val="24"/>
          <w:shd w:fill="auto" w:val="clear"/>
        </w:rPr>
        <w:t xml:space="preserve">р/пк-пз від 17.08.2023, в Рішенні АМКУ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5359-</w:t>
      </w:r>
      <w:r>
        <w:rPr>
          <w:rFonts w:ascii="Times New Roman" w:hAnsi="Times New Roman" w:cs="Times New Roman" w:eastAsia="Times New Roman"/>
          <w:color w:val="auto"/>
          <w:spacing w:val="0"/>
          <w:position w:val="0"/>
          <w:sz w:val="24"/>
          <w:shd w:fill="auto" w:val="clear"/>
        </w:rPr>
        <w:t xml:space="preserve">р/пк-пз від 04.04.2025, а також в Рішенні АМКУ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8864-</w:t>
      </w:r>
      <w:r>
        <w:rPr>
          <w:rFonts w:ascii="Times New Roman" w:hAnsi="Times New Roman" w:cs="Times New Roman" w:eastAsia="Times New Roman"/>
          <w:color w:val="auto"/>
          <w:spacing w:val="0"/>
          <w:position w:val="0"/>
          <w:sz w:val="24"/>
          <w:shd w:fill="auto" w:val="clear"/>
        </w:rPr>
        <w:t xml:space="preserve">р/пк-пз від 03.06.2025.</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Також наприклад в Рішенні АМКУ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12996-</w:t>
      </w:r>
      <w:r>
        <w:rPr>
          <w:rFonts w:ascii="Times New Roman" w:hAnsi="Times New Roman" w:cs="Times New Roman" w:eastAsia="Times New Roman"/>
          <w:color w:val="auto"/>
          <w:spacing w:val="0"/>
          <w:position w:val="0"/>
          <w:sz w:val="24"/>
          <w:shd w:fill="auto" w:val="clear"/>
        </w:rPr>
        <w:t xml:space="preserve">р/пк-пз від 17.08.2023 винесеного в процедурі закупівлі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UA-2023-07-24-005721-a, </w:t>
      </w:r>
      <w:r>
        <w:rPr>
          <w:rFonts w:ascii="Times New Roman" w:hAnsi="Times New Roman" w:cs="Times New Roman" w:eastAsia="Times New Roman"/>
          <w:color w:val="auto"/>
          <w:spacing w:val="0"/>
          <w:position w:val="0"/>
          <w:sz w:val="24"/>
          <w:shd w:fill="auto" w:val="clear"/>
        </w:rPr>
        <w:t xml:space="preserve">коли учасник не заповнив визначені поля форми технічної специфікації, а саме зазначено (аркуш 7-8):</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«1.3. </w:t>
      </w:r>
      <w:r>
        <w:rPr>
          <w:rFonts w:ascii="Times New Roman" w:hAnsi="Times New Roman" w:cs="Times New Roman" w:eastAsia="Times New Roman"/>
          <w:i/>
          <w:color w:val="auto"/>
          <w:spacing w:val="0"/>
          <w:position w:val="0"/>
          <w:sz w:val="24"/>
          <w:shd w:fill="auto" w:val="clear"/>
        </w:rPr>
        <w:t xml:space="preserve">Щодо колонки "Кількість" таблиці "Специфікація" тендерної пропозиції (файл "11. Тендерна пропозиція.pdf"). </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У наведеній вище тендерній пропозиції (файл "11. Тендерна пропозиція.pdf") Скаржником </w:t>
      </w:r>
      <w:r>
        <w:rPr>
          <w:rFonts w:ascii="Times New Roman" w:hAnsi="Times New Roman" w:cs="Times New Roman" w:eastAsia="Times New Roman"/>
          <w:b/>
          <w:i/>
          <w:color w:val="auto"/>
          <w:spacing w:val="0"/>
          <w:position w:val="0"/>
          <w:sz w:val="24"/>
          <w:shd w:fill="auto" w:val="clear"/>
        </w:rPr>
        <w:t xml:space="preserve">не заповнено</w:t>
      </w:r>
      <w:r>
        <w:rPr>
          <w:rFonts w:ascii="Times New Roman" w:hAnsi="Times New Roman" w:cs="Times New Roman" w:eastAsia="Times New Roman"/>
          <w:i/>
          <w:color w:val="auto"/>
          <w:spacing w:val="0"/>
          <w:position w:val="0"/>
          <w:sz w:val="24"/>
          <w:shd w:fill="auto" w:val="clear"/>
        </w:rPr>
        <w:t xml:space="preserve"> колонку "Кількість" таблиці "Специфікація" тендерної пропозиції (файл "11. Тендерна пропозиція.pdf"). </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Враховуючи викладене, Пропозиція Скаржника </w:t>
      </w:r>
      <w:r>
        <w:rPr>
          <w:rFonts w:ascii="Times New Roman" w:hAnsi="Times New Roman" w:cs="Times New Roman" w:eastAsia="Times New Roman"/>
          <w:i/>
          <w:color w:val="auto"/>
          <w:spacing w:val="0"/>
          <w:position w:val="0"/>
          <w:sz w:val="24"/>
          <w:u w:val="single"/>
          <w:shd w:fill="auto" w:val="clear"/>
        </w:rPr>
        <w:t xml:space="preserve">не відповідає умовам технічної специфікації</w:t>
      </w:r>
      <w:r>
        <w:rPr>
          <w:rFonts w:ascii="Times New Roman" w:hAnsi="Times New Roman" w:cs="Times New Roman" w:eastAsia="Times New Roman"/>
          <w:i/>
          <w:color w:val="auto"/>
          <w:spacing w:val="0"/>
          <w:position w:val="0"/>
          <w:sz w:val="24"/>
          <w:shd w:fill="auto" w:val="clear"/>
        </w:rPr>
        <w:t xml:space="preserve"> та іншим вимогам щодо предмета закупівлі тендерної документації. </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Відповідно до пункту 44 Особливостей замовник відхиляє тендерну пропозицію із зазначенням аргументації в електронній системі закупівель у разі, коли: </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тендерна пропозиція: </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не відповідає умовам технічної специфікації та іншим вимогам щодо предмета закупівлі тендерної документації, крім невідповідності у інформації та/або документах, що може бути усунена учасником процедури закупівлі відповідно до пункту 43 цих особливостей. </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Враховуючи викладене, Пропозиція Скаржника </w:t>
      </w:r>
      <w:r>
        <w:rPr>
          <w:rFonts w:ascii="Times New Roman" w:hAnsi="Times New Roman" w:cs="Times New Roman" w:eastAsia="Times New Roman"/>
          <w:i/>
          <w:color w:val="auto"/>
          <w:spacing w:val="0"/>
          <w:position w:val="0"/>
          <w:sz w:val="24"/>
          <w:u w:val="single"/>
          <w:shd w:fill="auto" w:val="clear"/>
        </w:rPr>
        <w:t xml:space="preserve">мала бути відхилена Замовником на підставі вимог пункту 44 Особливостей</w:t>
      </w:r>
      <w:r>
        <w:rPr>
          <w:rFonts w:ascii="Times New Roman" w:hAnsi="Times New Roman" w:cs="Times New Roman" w:eastAsia="Times New Roman"/>
          <w:i/>
          <w:color w:val="auto"/>
          <w:spacing w:val="0"/>
          <w:position w:val="0"/>
          <w:sz w:val="24"/>
          <w:shd w:fill="auto" w:val="clear"/>
        </w:rPr>
        <w:t xml:space="preserve"> як така, що не відповідає умовам технічної специфікації та іншим вимогам щодо предмета закупівлі тендерної документації</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Так АМКУ встановив, що сам фактА не заповнення визначених полів технічної специфікації  є достатнім для відхилення тендерної пропозиції.</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Також АМКУ при винесенні Рішення від 19.02.2025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2567-</w:t>
      </w:r>
      <w:r>
        <w:rPr>
          <w:rFonts w:ascii="Times New Roman" w:hAnsi="Times New Roman" w:cs="Times New Roman" w:eastAsia="Times New Roman"/>
          <w:color w:val="auto"/>
          <w:spacing w:val="0"/>
          <w:position w:val="0"/>
          <w:sz w:val="24"/>
          <w:shd w:fill="auto" w:val="clear"/>
        </w:rPr>
        <w:t xml:space="preserve">р/пк-пз по тендерній процедурі UA-2024-10-08-009512-a зазначив (аркуш 6):</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Документація, зокрема, додаток 2 Документації містить вимогу надати у складі Пропозиції </w:t>
      </w:r>
      <w:r>
        <w:rPr>
          <w:rFonts w:ascii="Times New Roman" w:hAnsi="Times New Roman" w:cs="Times New Roman" w:eastAsia="Times New Roman"/>
          <w:i/>
          <w:color w:val="auto"/>
          <w:spacing w:val="0"/>
          <w:position w:val="0"/>
          <w:sz w:val="24"/>
          <w:u w:val="single"/>
          <w:shd w:fill="auto" w:val="clear"/>
        </w:rPr>
        <w:t xml:space="preserve">заповнений за формою</w:t>
      </w:r>
      <w:r>
        <w:rPr>
          <w:rFonts w:ascii="Times New Roman" w:hAnsi="Times New Roman" w:cs="Times New Roman" w:eastAsia="Times New Roman"/>
          <w:i/>
          <w:color w:val="auto"/>
          <w:spacing w:val="0"/>
          <w:position w:val="0"/>
          <w:sz w:val="24"/>
          <w:shd w:fill="auto" w:val="clear"/>
        </w:rPr>
        <w:t xml:space="preserve"> додаток Документації. </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Разом з тим, у складі Пропозиції Переможця відсутній </w:t>
      </w:r>
      <w:r>
        <w:rPr>
          <w:rFonts w:ascii="Times New Roman" w:hAnsi="Times New Roman" w:cs="Times New Roman" w:eastAsia="Times New Roman"/>
          <w:i/>
          <w:color w:val="auto"/>
          <w:spacing w:val="0"/>
          <w:position w:val="0"/>
          <w:sz w:val="24"/>
          <w:u w:val="single"/>
          <w:shd w:fill="auto" w:val="clear"/>
        </w:rPr>
        <w:t xml:space="preserve">заповнений за формою</w:t>
      </w:r>
      <w:r>
        <w:rPr>
          <w:rFonts w:ascii="Times New Roman" w:hAnsi="Times New Roman" w:cs="Times New Roman" w:eastAsia="Times New Roman"/>
          <w:i/>
          <w:color w:val="auto"/>
          <w:spacing w:val="0"/>
          <w:position w:val="0"/>
          <w:sz w:val="24"/>
          <w:shd w:fill="auto" w:val="clear"/>
        </w:rPr>
        <w:t xml:space="preserve"> додаток 2 Документації. </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Враховуючи наведене, Пропозиція Переможця не відповідає умовам технічної специфікації та іншим вимогам щодо предмета закупівлі тендерної документації. Відповідно </w:t>
      </w:r>
      <w:r>
        <w:rPr>
          <w:rFonts w:ascii="Times New Roman" w:hAnsi="Times New Roman" w:cs="Times New Roman" w:eastAsia="Times New Roman"/>
          <w:i/>
          <w:color w:val="auto"/>
          <w:spacing w:val="0"/>
          <w:position w:val="0"/>
          <w:sz w:val="24"/>
          <w:u w:val="single"/>
          <w:shd w:fill="auto" w:val="clear"/>
        </w:rPr>
        <w:t xml:space="preserve">до абзацу другого підпункту 2 пункту 44 Особливостей замовник відхиляє тендерну пропозицію із зазначенням аргументації в електронній системі закупівель</w:t>
      </w:r>
      <w:r>
        <w:rPr>
          <w:rFonts w:ascii="Times New Roman" w:hAnsi="Times New Roman" w:cs="Times New Roman" w:eastAsia="Times New Roman"/>
          <w:i/>
          <w:color w:val="auto"/>
          <w:spacing w:val="0"/>
          <w:position w:val="0"/>
          <w:sz w:val="24"/>
          <w:shd w:fill="auto" w:val="clear"/>
        </w:rPr>
        <w:t xml:space="preserve"> у разі, якщо тендерна пропозиція не відповідає умовам технічної специфікації та іншим вимогАам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цих особливостей</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Щодо пункту 2 скарги.</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Відповідно до частини першої статті 2 Закону України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Про Національне агентство України з питань виявлення, розшуку та управління активами, одержаними від корупційних та інших злочинів</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далі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Закон про АРМА) АРМА є центральним органом виконавчої влади із спеціальним статусом, що забезпечує формування та реалізацію державної політики у сфері виявлення та розшуку активів, на які може бути накладено арешт у кримінальному провадженні чи у справі про визнання необґрунтованими активів та їх стягнення в дохід держави, та/або з управління активами, на які накладено арешт у кримінальному провадженні чи у справі про визнання необґрунтованими активів та їх стягнення в дохід держави або які конфісковано у кримінальному провадженні чи стягнено за рішенням суду в дохід держави внаслідок визнання їх необґрунтованими.</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Відповідно до частини першої статті 19 Закону про АРМА національне агентство здійснює управління активами, на які накладено арешт у кримінальному провадженні, у тому числі як захід забезпечення позову - лише щодо позову, пред’явленого в інтересах держави, із встановленням заборони розпоряджатися та/або користуватися такими активами, а також у позовному провадженні у справах про визнання необґрунтованими активів та їх стягнення в дохід держави із встановленням заборони користуватися такими активами, сума або вартість яких перевищує 200 розмірів прожиткового мінімуму, встановленого для працездатних осіб на 1 січня відповідного року.</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Зазначені активи приймаються в управління на підставі ухвали слідчого судді, суду чи згоди власника активів, копії яких надсилаються Національному агентству не пізніше наступного робочого дня після їх винесення (надання) з відповідним зверненням прокурора.</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Згідно з частинами першою та другою статті 21 Закону про АРМА управління рухомим та нерухомим майном, цінними паперами, майновими та іншими правами здійснюється Національним агентством шляхом реалізації відповідних активів або передачі їх в управління.</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Активи, зазначені у частині першій цієї статті, прийняті Національним агентством в управління, підлягають оцінці, яка здійснюється визначеними за результатами конкурсу суб`єктами оціночної діяльності, та передачі в управління визначеним за результатами конкурсу юридичним особам або фізичним особам - підприємцям у порядку, встановленому законодавством про державні (публічні) закупівлі.</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Управління активами здійснюється на підставі договору, укладеного відповідно до глави 70 Цивільного кодексу України з урахуванням особливостей, визначених цим Законом.</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Отже, для АРМА такі активи існують виключно в одному правовому режимі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режимі речового доказу, на який накладено арешт у кримінальному провадженні, щодо якого застосовано спеціальний порядок зберігання і відносно якого слідчим суддею встановлені обмеження щодо прав власника на  користування, розпорядження, володіння.</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Згідно з підпунктом 2 пункту 44 Особливостей, Замовник відхиляє тендерну пропозицію із зазначенням аргументації в електронній системі закупівель у разі, коли тендерна пропозиція:</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відповідає умовам технічної специфікації та іншим вимогам щодо предмета закупівлі тендерної документації.</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Відповідно до пункту 46 Особливостей 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 / переможцю процедури закупівлі, тендерна пропозиція якого відхилена, через електронну систему закупівель.</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Враховуючи наведене, Пропозиція Учасника не відповідала умовам технічної специфікації та іншим вимогам щодо предмета закупівлі тендерної документації і за вимогами Особливостей на це не надається 24 години на усунення невідповідностей.</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Щодо пункту 3 скарги.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Замовником 10.10.2025 на веб-порталі Уповноваженого органу розміщено файл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ТД санаторій Шаян 09.10.25.docx</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 файл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Проєкт договору 09.10.25.docx</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які містять, зокрема: - Додаток 1 Документації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ТЕНДЕРНА ПРОПОЗИЦІЯ ДО ПРЕДМЕТА ЗАКУПІВЛІ</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Додаток 2 Документації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ІНФОРМАЦІЯ ПРО ТЕХНІЧНІ, ЯКІСНІ ТА КІЛЬКІСНІ ХАРАКТЕРИСТИКИ ПРЕДМЕТА ЗАКУПІВЛІ</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Додаток 3 Документації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КВАЛІФІКАЦІЙНІ КРИТЕРІЇ ДО УЧАСНИКІВ ЗА ПРЕДМЕТОМ ЗАКУПІВЛІ</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Додаток 4 Документації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Інша інформація встановлена відповідно до законодавства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яким перебачено, зокрема, документи, які надаються УЧАСНИКОМ /ПЕРЕМОЖЦЕМ; - Додаток 5 Документації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ПІДТВЕРДЖЕННЯ ПЕРЕМОЖЦЕМ ПРОЦЕДУРИ ЗАКУПІВЛІ ВІДСУТНОСТІ ПІДСТАВ, ПЕРЕДБАЧЕНИХ У ПУНКТІ 47 ОСОБЛИВОСТЕЙ</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Додаток 6 Документації, який містить проєкт договору управління активами (майном); - Додаток 7 Документації, який містить форму Згоди на обробку персональних даних; - Додаток 8 Документації, який містить форму заяви; - Додаток 9 Документації, який містить форму Заяви/Згоди про приєднання до умов договору про управління активами (майном).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Враховуючи викладене, Замовник на веб-порталі Уповноваженого органу оприлюднив необхідний перелік документів та інформації, які подаються учасником процедури закупівлі та переможцем. Таким чином, Замовником не порушено порядку проведення Процедури закупівлі. Крім того, в рішенні АМКУ від 23.10.2024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17324-</w:t>
      </w:r>
      <w:r>
        <w:rPr>
          <w:rFonts w:ascii="Times New Roman" w:hAnsi="Times New Roman" w:cs="Times New Roman" w:eastAsia="Times New Roman"/>
          <w:color w:val="auto"/>
          <w:spacing w:val="0"/>
          <w:position w:val="0"/>
          <w:sz w:val="24"/>
          <w:shd w:fill="auto" w:val="clear"/>
        </w:rPr>
        <w:t xml:space="preserve">р/пк-пз було підтримано позицію АРМА стосовно зазначеного питання, а саме зазначено: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Слід зазначити, що Особливостями, зокрема, пунктом 28 Особливостей не встановлено окремих вимог до порядку оформлення та кількісних обмежень до додатків з переліком документів та/або інформації, які подаються учасником процедури закупівлі у складі тендерної пропозиції. Враховуючи наведене, у тому числі інформацію щодо додатків 1-9 Документації, Учасник не довів та документально не підтвердив необхідність внесення змін до Документації в цій частині, а також документально не підтвердив неможливість виконання вказаної умови Документації та не довів, яким чином наведена вище умова Документації порушує права та законні інтереси Учасника, пов’язані з участю у Процедурі закупівлі.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Додатково зазначаємо.</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Державою на АРМА покладено обов’язок щодо управління майном, на яке накладено арешт </w:t>
      </w:r>
      <w:r>
        <w:rPr>
          <w:rFonts w:ascii="Times New Roman" w:hAnsi="Times New Roman" w:cs="Times New Roman" w:eastAsia="Times New Roman"/>
          <w:color w:val="auto"/>
          <w:spacing w:val="0"/>
          <w:position w:val="0"/>
          <w:sz w:val="24"/>
          <w:shd w:fill="FFFFFF" w:val="clear"/>
        </w:rPr>
        <w:t xml:space="preserve">у кримінальному провадженні.</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Визначаючи кваліфікаційні критерії для відбору майбутнього управителя Активу, Замовником визначені  кваліфікаційні критерії з урахуванням особливості об’єкта управління </w:t>
      </w:r>
      <w:r>
        <w:rPr>
          <w:rFonts w:ascii="Times New Roman" w:hAnsi="Times New Roman" w:cs="Times New Roman" w:eastAsia="Times New Roman"/>
          <w:color w:val="auto"/>
          <w:spacing w:val="0"/>
          <w:position w:val="0"/>
          <w:sz w:val="24"/>
          <w:shd w:fill="auto" w:val="clear"/>
        </w:rPr>
        <w:t xml:space="preserve">торговельно-офісного комплексу.</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Відповідність учасника усім </w:t>
      </w:r>
      <w:r>
        <w:rPr>
          <w:rFonts w:ascii="Times New Roman" w:hAnsi="Times New Roman" w:cs="Times New Roman" w:eastAsia="Times New Roman"/>
          <w:color w:val="000000"/>
          <w:spacing w:val="0"/>
          <w:position w:val="0"/>
          <w:sz w:val="24"/>
          <w:shd w:fill="auto" w:val="clear"/>
        </w:rPr>
        <w:t xml:space="preserve">кваліфікаційним </w:t>
      </w:r>
      <w:r>
        <w:rPr>
          <w:rFonts w:ascii="Times New Roman" w:hAnsi="Times New Roman" w:cs="Times New Roman" w:eastAsia="Times New Roman"/>
          <w:color w:val="auto"/>
          <w:spacing w:val="0"/>
          <w:position w:val="0"/>
          <w:sz w:val="24"/>
          <w:shd w:fill="FFFFFF" w:val="clear"/>
        </w:rPr>
        <w:t xml:space="preserve">критеріям, підтвердженими Технічною документацією є свідченням того, що такий учасник в майбутньому зможе забезпечити належне управління майном, результати якого принесуть надходження до Державного бюджету. </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Відповідно до пункту 28 Особливостей тендерна документація формується замовником відповідно до вимог статті 22 Закону та з урахуванням цих особливостей.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Статтею 22 Закону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922-VII </w:t>
      </w:r>
      <w:r>
        <w:rPr>
          <w:rFonts w:ascii="Times New Roman" w:hAnsi="Times New Roman" w:cs="Times New Roman" w:eastAsia="Times New Roman"/>
          <w:color w:val="auto"/>
          <w:spacing w:val="0"/>
          <w:position w:val="0"/>
          <w:sz w:val="24"/>
          <w:shd w:fill="auto" w:val="clear"/>
        </w:rPr>
        <w:t xml:space="preserve">визначено перелік відомостей, які зазначаються у тендерній документації, до якого, крім іншого, включено  інструкцію з підготовки тендерних пропозицій. Замовник у тендерній документації також установлює спосіб підтвердження відповідності учасників вимогам згідно із законодавством.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Наголошуємо, що частиною третьою статті 22 Закону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922-VII </w:t>
      </w:r>
      <w:r>
        <w:rPr>
          <w:rFonts w:ascii="Times New Roman" w:hAnsi="Times New Roman" w:cs="Times New Roman" w:eastAsia="Times New Roman"/>
          <w:color w:val="auto"/>
          <w:spacing w:val="0"/>
          <w:position w:val="0"/>
          <w:sz w:val="24"/>
          <w:shd w:fill="auto" w:val="clear"/>
        </w:rPr>
        <w:t xml:space="preserve">передбачено, що тендерна документація може містити іншу інформацію, </w:t>
      </w:r>
      <w:r>
        <w:rPr>
          <w:rFonts w:ascii="Times New Roman" w:hAnsi="Times New Roman" w:cs="Times New Roman" w:eastAsia="Times New Roman"/>
          <w:color w:val="auto"/>
          <w:spacing w:val="0"/>
          <w:position w:val="0"/>
          <w:sz w:val="24"/>
          <w:u w:val="single"/>
          <w:shd w:fill="auto" w:val="clear"/>
        </w:rPr>
        <w:t xml:space="preserve">вимоги щодо наявності якої передбачені законодавством та яку замовник вважає за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необхідне включити до тендерної документації</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Таким чином, замовник самостійно у тендерній документації установлює вимоги, які передбачені законодавством, з дотриманням принципів здійснення публічних закупівель визначених частиною четвертою статті 5 Закону.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Тендерна документація не повинна містити вимог, що обмежують конкуренцію та призводять до дискримінації учасників, а також вимог щодо документального підтвердження інформації про відповідність вимогам тендерної документації, якщо така інформація є публічною, що оприлюднена у формі відкритих даних згідно із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FFFFFF" w:val="clear"/>
          </w:rPr>
          <w:t xml:space="preserve">Законом України</w:t>
        </w:r>
      </w:hyperlink>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Про доступ до публічної інформації</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та/або міститься у відкритих єдиних державних реєстрах, доступ до яких є вільним (частина четверта статті 22 Закону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922-VII).</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Кодексом адміністративного судочинства (далі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КАСУ) у частини 2 статті 2 передбачено, що у справах щодо оскарження рішень, дій чи бездіяльності суб'єктів владних повноважень адміністративні суди перевіряють, чи прийняті (вчинені) вони: </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на підставі, у межах повноважень та у спосіб, що визначені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FFFFFF" w:val="clear"/>
          </w:rPr>
          <w:t xml:space="preserve">Конституцією</w:t>
        </w:r>
      </w:hyperlink>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 законами України; </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з використанням повноваження з метою, з якою це повноваження надано; </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обґрунтовано, тобто з урахуванням усіх обставин, що мають значення для прийняття рішення (вчинення дії); </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безсторонньо (неупереджено); </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 </w:t>
      </w:r>
      <w:r>
        <w:rPr>
          <w:rFonts w:ascii="Times New Roman" w:hAnsi="Times New Roman" w:cs="Times New Roman" w:eastAsia="Times New Roman"/>
          <w:color w:val="auto"/>
          <w:spacing w:val="0"/>
          <w:position w:val="0"/>
          <w:sz w:val="24"/>
          <w:shd w:fill="FFFFFF" w:val="clear"/>
        </w:rPr>
        <w:t xml:space="preserve">добросовісно; </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 </w:t>
      </w:r>
      <w:r>
        <w:rPr>
          <w:rFonts w:ascii="Times New Roman" w:hAnsi="Times New Roman" w:cs="Times New Roman" w:eastAsia="Times New Roman"/>
          <w:color w:val="auto"/>
          <w:spacing w:val="0"/>
          <w:position w:val="0"/>
          <w:sz w:val="24"/>
          <w:shd w:fill="FFFFFF" w:val="clear"/>
        </w:rPr>
        <w:t xml:space="preserve">розсудливо; </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 </w:t>
      </w:r>
      <w:r>
        <w:rPr>
          <w:rFonts w:ascii="Times New Roman" w:hAnsi="Times New Roman" w:cs="Times New Roman" w:eastAsia="Times New Roman"/>
          <w:color w:val="auto"/>
          <w:spacing w:val="0"/>
          <w:position w:val="0"/>
          <w:sz w:val="24"/>
          <w:shd w:fill="FFFFFF" w:val="clear"/>
        </w:rPr>
        <w:t xml:space="preserve">з дотриманням принципу рівності перед законом, запобігаючи всім формам дискримінації;</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 </w:t>
      </w:r>
      <w:r>
        <w:rPr>
          <w:rFonts w:ascii="Times New Roman" w:hAnsi="Times New Roman" w:cs="Times New Roman" w:eastAsia="Times New Roman"/>
          <w:color w:val="auto"/>
          <w:spacing w:val="0"/>
          <w:position w:val="0"/>
          <w:sz w:val="24"/>
          <w:shd w:fill="FFFFFF" w:val="clear"/>
        </w:rPr>
        <w:t xml:space="preserve">пропорційно, зокрема з дотриманням необхідного балансу між будь-якими несприятливими наслідками для прав, свобод та інтересів особи і цілями, на досягнення яких спрямоване це рішення (дія); </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 </w:t>
      </w:r>
      <w:r>
        <w:rPr>
          <w:rFonts w:ascii="Times New Roman" w:hAnsi="Times New Roman" w:cs="Times New Roman" w:eastAsia="Times New Roman"/>
          <w:color w:val="auto"/>
          <w:spacing w:val="0"/>
          <w:position w:val="0"/>
          <w:sz w:val="24"/>
          <w:shd w:fill="FFFFFF" w:val="clear"/>
        </w:rPr>
        <w:t xml:space="preserve">з урахуванням права особи на участь у процесі прийняття рішення; </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10) </w:t>
      </w:r>
      <w:r>
        <w:rPr>
          <w:rFonts w:ascii="Times New Roman" w:hAnsi="Times New Roman" w:cs="Times New Roman" w:eastAsia="Times New Roman"/>
          <w:color w:val="auto"/>
          <w:spacing w:val="0"/>
          <w:position w:val="0"/>
          <w:sz w:val="24"/>
          <w:shd w:fill="FFFFFF" w:val="clear"/>
        </w:rPr>
        <w:t xml:space="preserve">своєчасно, тобто протягом розумного строку.</w:t>
      </w:r>
    </w:p>
    <w:p>
      <w:pPr>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Враховуючи вищевизначені вимоги КАСУ зазначаємо, що:</w:t>
      </w:r>
    </w:p>
    <w:p>
      <w:pPr>
        <w:numPr>
          <w:ilvl w:val="0"/>
          <w:numId w:val="50"/>
        </w:numPr>
        <w:spacing w:before="0" w:after="0" w:line="240"/>
        <w:ind w:right="0" w:left="142" w:firstLine="709"/>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кваліфікаційні вимоги визначено відповідно до частини першої та другої статті 16, </w:t>
      </w:r>
      <w:r>
        <w:rPr>
          <w:rFonts w:ascii="Times New Roman" w:hAnsi="Times New Roman" w:cs="Times New Roman" w:eastAsia="Times New Roman"/>
          <w:color w:val="auto"/>
          <w:spacing w:val="0"/>
          <w:position w:val="0"/>
          <w:sz w:val="24"/>
          <w:shd w:fill="auto" w:val="clear"/>
        </w:rPr>
        <w:t xml:space="preserve">частини третьою статті 22 Закону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922 </w:t>
      </w:r>
      <w:r>
        <w:rPr>
          <w:rFonts w:ascii="Times New Roman" w:hAnsi="Times New Roman" w:cs="Times New Roman" w:eastAsia="Times New Roman"/>
          <w:b/>
          <w:color w:val="auto"/>
          <w:spacing w:val="0"/>
          <w:position w:val="0"/>
          <w:sz w:val="24"/>
          <w:shd w:fill="auto" w:val="clear"/>
        </w:rPr>
        <w:t xml:space="preserve">вони не були оскаржені і є діючими в тендерній процедурі;</w:t>
      </w:r>
    </w:p>
    <w:p>
      <w:pPr>
        <w:numPr>
          <w:ilvl w:val="0"/>
          <w:numId w:val="50"/>
        </w:numPr>
        <w:spacing w:before="0" w:after="0" w:line="240"/>
        <w:ind w:right="0" w:left="142"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кваліфікаційні критерії визначено з використанням повноваження з метою управління Активом  із дотриманням принципу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збереження (за можливості - збільшення)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їх вартості;</w:t>
      </w:r>
    </w:p>
    <w:p>
      <w:pPr>
        <w:numPr>
          <w:ilvl w:val="0"/>
          <w:numId w:val="50"/>
        </w:numPr>
        <w:spacing w:before="0" w:after="0" w:line="240"/>
        <w:ind w:right="0" w:left="142"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обґрунтовано, тобто з урахуванням усіх обставин пов’язаних з Активом, зокрема щодо його вартості та попередніх результатів господарської діяльності власника, а також видів діяльності для яких призначений саме цей Актив, що відповідно  мали значення для прийняття цього рішення; </w:t>
      </w:r>
    </w:p>
    <w:p>
      <w:pPr>
        <w:numPr>
          <w:ilvl w:val="0"/>
          <w:numId w:val="50"/>
        </w:numPr>
        <w:spacing w:before="0" w:after="0" w:line="240"/>
        <w:ind w:right="0" w:left="142"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безсторонньо, неупереджено, добросовісно та розсудливо, що виключає участь в тендерній процедурі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фіктивних компаній</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або фінансово неспроможних суб’єктів господарювання, які не зможуть виконувати фінансові обов’язки при виконанні договору управління, виконання яких передбачено за власний рахунок управителя;</w:t>
      </w:r>
    </w:p>
    <w:p>
      <w:pPr>
        <w:numPr>
          <w:ilvl w:val="0"/>
          <w:numId w:val="50"/>
        </w:numPr>
        <w:spacing w:before="0" w:after="0" w:line="240"/>
        <w:ind w:right="0" w:left="142"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 дотриманням принципу рівності перед законом та виключаючи принципи дискримінації та пропорційно між інтересами суб’єктів господарювання (управителів) та інтересами АРМА та Державного бюджету України.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підставі викладеного вважаю за необхідне зазначити, що твердження скаржника </w:t>
      </w:r>
      <w:r>
        <w:rPr>
          <w:rFonts w:ascii="Times New Roman" w:hAnsi="Times New Roman" w:cs="Times New Roman" w:eastAsia="Times New Roman"/>
          <w:color w:val="auto"/>
          <w:spacing w:val="0"/>
          <w:position w:val="0"/>
          <w:sz w:val="24"/>
          <w:shd w:fill="FFFFFF" w:val="clear"/>
        </w:rPr>
        <w:t xml:space="preserve">є безпідставними.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Враховуючи вищенаведене, просимо Вас відмовити в задоволенні скарги Учасника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закупівлі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UA-2025-10-10-009350-</w:t>
      </w:r>
      <w:r>
        <w:rPr>
          <w:rFonts w:ascii="Times New Roman" w:hAnsi="Times New Roman" w:cs="Times New Roman" w:eastAsia="Times New Roman"/>
          <w:color w:val="auto"/>
          <w:spacing w:val="0"/>
          <w:position w:val="0"/>
          <w:sz w:val="24"/>
          <w:shd w:fill="auto" w:val="clear"/>
        </w:rPr>
        <w:t xml:space="preserve">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повагою,</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Уповноважена особа Національного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агентства України з питань виявлення,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розшуку та управління активами,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одержаними від корупційних та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інших злочинів, з питань конкурсного</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відбору управителів активами з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застосуванням  електронної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системи</w:t>
        <w:tab/>
        <w:tab/>
        <w:tab/>
        <w:tab/>
        <w:t xml:space="preserve">                                    Катерина СКОЛОВЕТРОВА-ВЕГНЕР</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044 290 08 52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zakon.rada.gov.ua/laws/show/1178-2022-%D0%BF?find=1&amp;text=%D1%80%D0%BE%D1%81%D1%96%D0%B9" Id="docRId1" Type="http://schemas.openxmlformats.org/officeDocument/2006/relationships/hyperlink" /><Relationship TargetMode="External" Target="https://zakon.rada.gov.ua/laws/show/2939-17" Id="docRId3" Type="http://schemas.openxmlformats.org/officeDocument/2006/relationships/hyperlink" /><Relationship Target="numbering.xml" Id="docRId5" Type="http://schemas.openxmlformats.org/officeDocument/2006/relationships/numbering" /><Relationship TargetMode="External" Target="http://www.arma.gov.ua/" Id="docRId0" Type="http://schemas.openxmlformats.org/officeDocument/2006/relationships/hyperlink" /><Relationship TargetMode="External" Target="https://zakon.rada.gov.ua/laws/show/1178-2022-%D0%BF" Id="docRId2" Type="http://schemas.openxmlformats.org/officeDocument/2006/relationships/hyperlink" /><Relationship TargetMode="External" Target="https://ips.ligazakon.net/document/view/z960254k?ed=2019_09_03" Id="docRId4" Type="http://schemas.openxmlformats.org/officeDocument/2006/relationships/hyperlink" /><Relationship Target="styles.xml" Id="docRId6" Type="http://schemas.openxmlformats.org/officeDocument/2006/relationships/styles" /></Relationships>
</file>